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"/>
        <w:ind w:left="249" w:right="259" w:firstLine="0"/>
        <w:jc w:val="center"/>
        <w:rPr>
          <w:b/>
          <w:sz w:val="32"/>
        </w:rPr>
      </w:pPr>
      <w:r>
        <w:rPr>
          <w:rFonts w:hint="eastAsia"/>
          <w:b/>
          <w:sz w:val="36"/>
        </w:rPr>
        <w:t>化学需氧量</w:t>
      </w:r>
      <w:r>
        <w:rPr>
          <w:b/>
          <w:sz w:val="32"/>
        </w:rPr>
        <w:t>(COD Vials)</w:t>
      </w:r>
    </w:p>
    <w:p>
      <w:pPr>
        <w:tabs>
          <w:tab w:val="left" w:pos="1605"/>
        </w:tabs>
        <w:spacing w:before="147" w:line="268" w:lineRule="exact"/>
        <w:ind w:left="249" w:right="0" w:firstLine="0"/>
        <w:jc w:val="center"/>
        <w:rPr>
          <w:sz w:val="24"/>
        </w:rPr>
      </w:pPr>
      <w:r>
        <w:rPr>
          <w:b/>
          <w:sz w:val="24"/>
        </w:rPr>
        <w:t>LR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COD:</w:t>
      </w:r>
      <w:r>
        <w:rPr>
          <w:b/>
          <w:sz w:val="24"/>
        </w:rPr>
        <w:tab/>
      </w:r>
      <w:r>
        <w:rPr>
          <w:sz w:val="24"/>
        </w:rPr>
        <w:t>0 - 150</w:t>
      </w:r>
      <w:r>
        <w:rPr>
          <w:spacing w:val="17"/>
          <w:sz w:val="24"/>
        </w:rPr>
        <w:t xml:space="preserve"> </w:t>
      </w:r>
      <w:r>
        <w:rPr>
          <w:sz w:val="24"/>
        </w:rPr>
        <w:t>mg/L</w:t>
      </w:r>
    </w:p>
    <w:p>
      <w:pPr>
        <w:tabs>
          <w:tab w:val="left" w:pos="1739"/>
        </w:tabs>
        <w:spacing w:before="0" w:line="260" w:lineRule="exact"/>
        <w:ind w:left="356" w:right="0" w:firstLine="0"/>
        <w:jc w:val="center"/>
        <w:rPr>
          <w:sz w:val="24"/>
        </w:rPr>
      </w:pPr>
      <w:r>
        <w:rPr>
          <w:b/>
          <w:sz w:val="24"/>
        </w:rPr>
        <w:t>HR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COD:</w:t>
      </w:r>
      <w:r>
        <w:rPr>
          <w:b/>
          <w:sz w:val="24"/>
        </w:rPr>
        <w:tab/>
      </w:r>
      <w:r>
        <w:rPr>
          <w:sz w:val="24"/>
        </w:rPr>
        <w:t>0 - 1500</w:t>
      </w:r>
      <w:r>
        <w:rPr>
          <w:spacing w:val="18"/>
          <w:sz w:val="24"/>
        </w:rPr>
        <w:t xml:space="preserve"> </w:t>
      </w:r>
      <w:r>
        <w:rPr>
          <w:sz w:val="24"/>
        </w:rPr>
        <w:t>mg/L</w:t>
      </w:r>
    </w:p>
    <w:p>
      <w:pPr>
        <w:tabs>
          <w:tab w:val="left" w:pos="1939"/>
        </w:tabs>
        <w:spacing w:before="0" w:line="268" w:lineRule="exact"/>
        <w:ind w:left="416" w:right="0" w:firstLine="0"/>
        <w:jc w:val="center"/>
        <w:rPr>
          <w:sz w:val="24"/>
        </w:rPr>
      </w:pPr>
      <w:r>
        <w:rPr>
          <w:b/>
          <w:sz w:val="24"/>
        </w:rPr>
        <w:t>HR+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COD:</w:t>
      </w:r>
      <w:r>
        <w:rPr>
          <w:b/>
          <w:sz w:val="24"/>
        </w:rPr>
        <w:tab/>
      </w:r>
      <w:r>
        <w:rPr>
          <w:sz w:val="24"/>
        </w:rPr>
        <w:t>0 - 15,000</w:t>
      </w:r>
      <w:r>
        <w:rPr>
          <w:spacing w:val="18"/>
          <w:sz w:val="24"/>
        </w:rPr>
        <w:t xml:space="preserve"> </w:t>
      </w:r>
      <w:r>
        <w:rPr>
          <w:sz w:val="24"/>
        </w:rPr>
        <w:t>mg/L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3233"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安全信息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COD试剂瓶含有硫酸，会导致严重烧伤。 使用前请阅读SDS（可从www.chemetrics.com获取）。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穿戴适当的个人防护装备。 在引擎盖下执行此测试程序。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leftChars="0" w:right="3232"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94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化学需氧量是废水样品中可氧化有机物含量的量度。 在催化剂（银）存在下使样品与重铬酸钾的酸性溶液反应，并在150℃的温度下消化2小时。 可氧化的有机化合物将重铬酸根离子</w:t>
      </w:r>
      <w:r>
        <w:t xml:space="preserve">(Cr O </w:t>
      </w:r>
      <w:r>
        <w:rPr>
          <w:position w:val="5"/>
          <w:sz w:val="14"/>
        </w:rPr>
        <w:t>2-</w:t>
      </w:r>
      <w:r>
        <w:t>)</w:t>
      </w:r>
      <w:r>
        <w:rPr>
          <w:rFonts w:hint="eastAsia" w:ascii="宋体" w:hAnsi="宋体" w:eastAsia="宋体" w:cs="宋体"/>
          <w:sz w:val="21"/>
          <w:szCs w:val="21"/>
        </w:rPr>
        <w:t>还原成铬离子</w:t>
      </w:r>
      <w:r>
        <w:t>(Cr</w:t>
      </w:r>
      <w:r>
        <w:rPr>
          <w:position w:val="5"/>
          <w:sz w:val="14"/>
        </w:rPr>
        <w:t>3+</w:t>
      </w:r>
      <w: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94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在LR COD试剂盒中，重量分析测量重铬酸根离子的减少量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在HR和HR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COD试剂盒中，测量产生的铬离子的量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测试结果表示为每升样品消耗的氧气毫克数（mg /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l </w:t>
      </w:r>
      <w:r>
        <w:rPr>
          <w:rFonts w:hint="eastAsia" w:ascii="宋体" w:hAnsi="宋体" w:eastAsia="宋体" w:cs="宋体"/>
          <w:sz w:val="21"/>
          <w:szCs w:val="21"/>
        </w:rPr>
        <w:t>COD）。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参考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360" w:lineRule="auto"/>
        <w:ind w:left="0" w:leftChars="0" w:right="3232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APHA标准方法，第22版，方法5220 D - 1997。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360" w:lineRule="auto"/>
        <w:ind w:left="0" w:leftChars="0" w:right="3232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ASTM D 1252-06，水的化学需氧量（重铬酸盐需氧量），测试方法B.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360" w:lineRule="auto"/>
        <w:ind w:right="3229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EPA方法分析水和废物，方法410.4（1983）。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M. Jirka和M. J. Carter，“用于化学需氧量的表面和废水的微半自动分析”，分析化学（1975）。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39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J. A. Winter，“方法研究3，需求分析，水和废水分析方法评估”，USEPA，（1971）。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39"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样品采集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将样品收集在玻璃瓶中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当需要保存样品进行储存时，用浓硫酸酸化至pH&lt;2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收集后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保存样品在4°C下保存不超过28天。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38" w:rightChars="0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b/>
          <w:sz w:val="21"/>
          <w:szCs w:val="21"/>
          <w:highlight w:val="yellow"/>
        </w:rPr>
        <w:t>测试程序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3" w:line="360" w:lineRule="auto"/>
        <w:ind w:left="0" w:leftChars="0" w:right="39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</w:rPr>
        <w:t>在搅拌器中将500mL样品均化2分钟。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3" w:line="360" w:lineRule="auto"/>
        <w:ind w:leftChars="0" w:right="39" w:rightChars="0"/>
        <w:textAlignment w:val="auto"/>
        <w:rPr>
          <w:rFonts w:hint="eastAsia" w:ascii="宋体" w:hAnsi="宋体" w:eastAsia="宋体" w:cs="宋体"/>
          <w:b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b/>
          <w:sz w:val="21"/>
          <w:szCs w:val="21"/>
          <w:highlight w:val="yellow"/>
        </w:rPr>
        <w:t>注意：混合可确保样品中可能存在的任何固体均匀分布，从而提高测试的准确性和可重复性。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after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  <w:highlight w:val="yellow"/>
          <w:lang w:eastAsia="zh-CN"/>
        </w:rPr>
        <w:t>预热消解器至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150°C。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after="0" w:line="360" w:lineRule="auto"/>
        <w:ind w:right="38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从COD样品瓶中取出盖子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6" w:after="0" w:line="360" w:lineRule="auto"/>
        <w:ind w:right="38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4、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将样品2.00 mL（HR + COD 0.20 mL）加入样品瓶中。 小瓶的内容会变热。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after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5、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将盖子更换到COD样品瓶上，将其紧紧固定。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after="0" w:line="360" w:lineRule="auto"/>
        <w:ind w:right="38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6、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立即倒置小瓶10次以充分混合。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7" w:after="0" w:line="360" w:lineRule="auto"/>
        <w:ind w:right="38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注意：混合时，仅用盖子握住小瓶。 小瓶的内容会变得很热。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after="0" w:line="360" w:lineRule="auto"/>
        <w:ind w:right="38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7、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用湿毛巾擦拭小瓶并将其放入预热的</w:t>
      </w: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消解器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9" w:line="360" w:lineRule="auto"/>
        <w:ind w:left="0" w:leftChars="0" w:right="39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8、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重复步骤3至7，使用去离子水而不是步骤4中的样品，准备试剂空白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9" w:line="360" w:lineRule="auto"/>
        <w:ind w:left="0" w:leftChars="0" w:right="39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b/>
          <w:sz w:val="21"/>
          <w:szCs w:val="21"/>
          <w:highlight w:val="yellow"/>
        </w:rPr>
        <w:t>注意：</w:t>
      </w:r>
      <w:r>
        <w:rPr>
          <w:rFonts w:hint="eastAsia" w:ascii="宋体" w:hAnsi="宋体" w:eastAsia="宋体" w:cs="宋体"/>
          <w:sz w:val="21"/>
          <w:szCs w:val="21"/>
          <w:highlight w:val="yellow"/>
        </w:rPr>
        <w:t>每组样品和每批新批次的COD样品瓶必须至少运行一个试剂空白。 使用与测试COD样品瓶相同批次的空白样品瓶。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after="0" w:line="360" w:lineRule="auto"/>
        <w:ind w:right="38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9.让小瓶在消解器中在150°C加热2小时。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after="0" w:line="360" w:lineRule="auto"/>
        <w:ind w:right="38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10.关闭消解器，让小瓶保留在装置中冷却15到20分钟。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after="0" w:line="360" w:lineRule="auto"/>
        <w:ind w:right="38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11.请注意，玻璃瓶仍然很热。 小心地从消解器中取出每个小瓶，确保盖子牢固固定。 将每个样品瓶倒置几次，然后将其放入机架中冷却至室温。 让小瓶冷却至少30分钟。 在此冷却时间内将样品瓶存放在黑暗中。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注意：如果掉落或快速冷却，热的样品瓶可能会破碎。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12.如果适用，请按照仪器特定程序选择波长并将分光光度计归零。</w:t>
      </w:r>
    </w:p>
    <w:tbl>
      <w:tblPr>
        <w:tblStyle w:val="5"/>
        <w:tblW w:w="7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443"/>
        <w:gridCol w:w="4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86" w:type="dxa"/>
            <w:vAlign w:val="center"/>
          </w:tcPr>
          <w:p>
            <w:pPr>
              <w:pStyle w:val="9"/>
              <w:spacing w:before="0" w:line="237" w:lineRule="auto"/>
              <w:ind w:left="187" w:right="146" w:hanging="138"/>
              <w:jc w:val="center"/>
              <w:rPr>
                <w:b/>
                <w:sz w:val="22"/>
              </w:rPr>
            </w:pPr>
            <w:r>
              <w:rPr>
                <w:rFonts w:hint="eastAsia" w:eastAsia="宋体"/>
                <w:b/>
                <w:sz w:val="22"/>
                <w:lang w:eastAsia="zh-CN"/>
              </w:rPr>
              <w:t>范围</w:t>
            </w:r>
            <w:r>
              <w:rPr>
                <w:b/>
                <w:sz w:val="22"/>
              </w:rPr>
              <w:t xml:space="preserve"> mg/L</w:t>
            </w:r>
          </w:p>
        </w:tc>
        <w:tc>
          <w:tcPr>
            <w:tcW w:w="1443" w:type="dxa"/>
            <w:vAlign w:val="top"/>
          </w:tcPr>
          <w:p>
            <w:pPr>
              <w:pStyle w:val="9"/>
              <w:spacing w:before="1" w:line="240" w:lineRule="auto"/>
              <w:jc w:val="center"/>
              <w:rPr>
                <w:sz w:val="21"/>
              </w:rPr>
            </w:pPr>
          </w:p>
          <w:p>
            <w:pPr>
              <w:pStyle w:val="9"/>
              <w:spacing w:before="0" w:line="240" w:lineRule="auto"/>
              <w:ind w:left="16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rFonts w:hint="eastAsia" w:eastAsia="宋体"/>
                <w:b/>
                <w:sz w:val="22"/>
                <w:lang w:eastAsia="zh-CN"/>
              </w:rPr>
              <w:t>波长</w:t>
            </w:r>
          </w:p>
        </w:tc>
        <w:tc>
          <w:tcPr>
            <w:tcW w:w="4084" w:type="dxa"/>
            <w:vAlign w:val="center"/>
          </w:tcPr>
          <w:p>
            <w:pPr>
              <w:pStyle w:val="9"/>
              <w:spacing w:before="0" w:line="237" w:lineRule="auto"/>
              <w:ind w:left="812" w:right="772" w:hanging="105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校准方程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86" w:type="dxa"/>
          </w:tcPr>
          <w:p>
            <w:pPr>
              <w:pStyle w:val="9"/>
              <w:spacing w:before="40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0 - 150</w:t>
            </w:r>
          </w:p>
        </w:tc>
        <w:tc>
          <w:tcPr>
            <w:tcW w:w="1443" w:type="dxa"/>
          </w:tcPr>
          <w:p>
            <w:pPr>
              <w:pStyle w:val="9"/>
              <w:spacing w:before="40"/>
              <w:ind w:left="16" w:right="38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084" w:type="dxa"/>
          </w:tcPr>
          <w:p>
            <w:pPr>
              <w:pStyle w:val="9"/>
              <w:spacing w:before="40"/>
              <w:ind w:right="4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ppm </w:t>
            </w:r>
            <w:r>
              <w:rPr>
                <w:spacing w:val="-5"/>
                <w:sz w:val="20"/>
              </w:rPr>
              <w:t xml:space="preserve">(mg/L) </w:t>
            </w:r>
            <w:r>
              <w:rPr>
                <w:sz w:val="20"/>
              </w:rPr>
              <w:t xml:space="preserve">= </w:t>
            </w:r>
            <w:r>
              <w:rPr>
                <w:spacing w:val="-5"/>
                <w:sz w:val="20"/>
              </w:rPr>
              <w:t xml:space="preserve">(-331)(abs) </w:t>
            </w: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86" w:type="dxa"/>
          </w:tcPr>
          <w:p>
            <w:pPr>
              <w:pStyle w:val="9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0 - 1,500</w:t>
            </w:r>
          </w:p>
        </w:tc>
        <w:tc>
          <w:tcPr>
            <w:tcW w:w="1443" w:type="dxa"/>
          </w:tcPr>
          <w:p>
            <w:pPr>
              <w:pStyle w:val="9"/>
              <w:ind w:left="16" w:right="38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084" w:type="dxa"/>
          </w:tcPr>
          <w:p>
            <w:pPr>
              <w:pStyle w:val="9"/>
              <w:ind w:right="15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ppm </w:t>
            </w:r>
            <w:r>
              <w:rPr>
                <w:spacing w:val="-5"/>
                <w:sz w:val="20"/>
              </w:rPr>
              <w:t xml:space="preserve">(mg/L) </w:t>
            </w:r>
            <w:r>
              <w:rPr>
                <w:sz w:val="20"/>
              </w:rPr>
              <w:t xml:space="preserve">= </w:t>
            </w:r>
            <w:r>
              <w:rPr>
                <w:spacing w:val="-5"/>
                <w:sz w:val="20"/>
              </w:rPr>
              <w:t xml:space="preserve">(2301)(abs) </w:t>
            </w:r>
            <w:r>
              <w:rPr>
                <w:sz w:val="20"/>
              </w:rPr>
              <w:t>- 3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6" w:type="dxa"/>
          </w:tcPr>
          <w:p>
            <w:pPr>
              <w:pStyle w:val="9"/>
              <w:spacing w:line="21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 xml:space="preserve">0 - </w:t>
            </w:r>
            <w:r>
              <w:rPr>
                <w:spacing w:val="-5"/>
                <w:sz w:val="20"/>
              </w:rPr>
              <w:t>15,000</w:t>
            </w:r>
          </w:p>
        </w:tc>
        <w:tc>
          <w:tcPr>
            <w:tcW w:w="1443" w:type="dxa"/>
          </w:tcPr>
          <w:p>
            <w:pPr>
              <w:pStyle w:val="9"/>
              <w:spacing w:line="210" w:lineRule="exact"/>
              <w:ind w:left="16" w:right="38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084" w:type="dxa"/>
          </w:tcPr>
          <w:p>
            <w:pPr>
              <w:pStyle w:val="9"/>
              <w:spacing w:line="210" w:lineRule="exact"/>
              <w:ind w:right="4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ppm </w:t>
            </w:r>
            <w:r>
              <w:rPr>
                <w:spacing w:val="-5"/>
                <w:sz w:val="20"/>
              </w:rPr>
              <w:t xml:space="preserve">(mg/L) </w:t>
            </w:r>
            <w:r>
              <w:rPr>
                <w:sz w:val="20"/>
              </w:rPr>
              <w:t xml:space="preserve">= </w:t>
            </w:r>
            <w:r>
              <w:rPr>
                <w:spacing w:val="-5"/>
                <w:sz w:val="20"/>
              </w:rPr>
              <w:t xml:space="preserve">(23010)(abs) </w:t>
            </w:r>
            <w:r>
              <w:rPr>
                <w:sz w:val="20"/>
              </w:rPr>
              <w:t>- 3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13.擦拭试剂空白样品瓶的外部，直至其清洁干燥。 将试剂空白样品瓶放入仪器样品室。 该试剂空白用于将仪器归零。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14.擦拭测试COD小瓶的外部，直至其清洁干燥。 将样品瓶放入仪器样品室以获得测试结果。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15.如果适用，请使用步骤12中的范围特定校准公式将吸光度值转换为mg /l COD的测试结果。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en-US"/>
        </w:rPr>
        <w:t>错误的来源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含有LR COD和HR COD试剂的汞可以承受高达2000 ppm氯离子的干扰。含有HR+COD试剂的汞可用于含有高达20,000ppm氯化物的样品而不会产生干扰，氯化物浓度较高的样品需要稀释。此外，含有高浓度氯化物（&gt;1000ppm）和低浓度COD（&lt;30％产品范围）的样品将给出假阳性测试结果。在这种情况下，建议采用样品稀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ascii="Times New Roman"/>
          <w:i/>
          <w:sz w:val="27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无汞LR COD和HR COD试剂适用于氯化物含量低于100 ppm的样品（无汞HR+COD试剂盒低于1000 ppm）。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选择正确的范围COD套件非常重要，如果样品中的COD浓度明显高于所用测试试剂盒的范围，则可能获得错误的低测试结果。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COD试剂是光敏感的，使用时，将样品瓶存放在黑暗中和室温下。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良好的技术和消除污染是必要的准确结果，可用20％硫酸清洗所有玻璃器皿。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对于COD测试，基于LED的光度计不能产生与分光光度计相当的精度，精度和灵敏度对于COD的NPDES报告目的，分光光度计是首选的测量方法。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en-US" w:bidi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en-US" w:bidi="en-US"/>
        </w:rPr>
        <w:t>校准和精确检查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en-US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 w:bidi="en-US"/>
        </w:rPr>
        <w:t>1.获得mg</w:t>
      </w: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 xml:space="preserve">/l </w:t>
      </w:r>
      <w:r>
        <w:rPr>
          <w:rFonts w:hint="eastAsia" w:ascii="宋体" w:hAnsi="宋体" w:eastAsia="宋体" w:cs="宋体"/>
          <w:sz w:val="21"/>
          <w:szCs w:val="21"/>
          <w:lang w:val="en-US" w:eastAsia="en-US" w:bidi="en-US"/>
        </w:rPr>
        <w:t>COD测试结果的选项：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en-US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 w:bidi="en-US"/>
        </w:rPr>
        <w:t>•使用预编程的CHEMetrics或</w:t>
      </w: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哈希</w:t>
      </w:r>
      <w:r>
        <w:rPr>
          <w:rFonts w:hint="eastAsia" w:ascii="宋体" w:hAnsi="宋体" w:eastAsia="宋体" w:cs="宋体"/>
          <w:sz w:val="21"/>
          <w:szCs w:val="21"/>
          <w:lang w:val="en-US" w:eastAsia="en-US" w:bidi="en-US"/>
        </w:rPr>
        <w:t>仪器进行直接读数。 按照仪器操作员手册中的设置和测量程序进行操作。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en-US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 w:bidi="en-US"/>
        </w:rPr>
        <w:t>•使用提供的校准公式（测试程序的步骤12）用于其他品牌的分光光度计。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•通过准备一系列五种标准溶液（其中一种是空白）来生成特定于所用仪器的标准曲线，该解决方案涵盖了预期的测试范围。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2.COD标准溶液用于检查测试的准确性或生成仪器特定的校准曲线。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en-US"/>
        </w:rPr>
        <w:t>1.当哈希公司应用于非自身的试剂时，不保证其提供的校准的准确性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 w:bidi="en-US"/>
        </w:rPr>
      </w:pPr>
    </w:p>
    <w:p>
      <w:pPr>
        <w:spacing w:before="76" w:line="249" w:lineRule="auto"/>
        <w:ind w:right="3231"/>
        <w:jc w:val="both"/>
        <w:rPr>
          <w:i/>
          <w:sz w:val="15"/>
        </w:rPr>
      </w:pPr>
    </w:p>
    <w:sectPr>
      <w:pgSz w:w="12240" w:h="15840"/>
      <w:pgMar w:top="1440" w:right="1080" w:bottom="144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129A"/>
    <w:multiLevelType w:val="singleLevel"/>
    <w:tmpl w:val="6B1012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C1316"/>
    <w:rsid w:val="1CC162A1"/>
    <w:rsid w:val="38D2333E"/>
    <w:rsid w:val="42617BE5"/>
    <w:rsid w:val="59AA3D8F"/>
    <w:rsid w:val="6C6F4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245" w:lineRule="exact"/>
      <w:ind w:left="3229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724" w:right="38" w:hanging="272"/>
      <w:jc w:val="both"/>
      <w:outlineLvl w:val="2"/>
    </w:pPr>
    <w:rPr>
      <w:rFonts w:ascii="Arial" w:hAnsi="Arial" w:eastAsia="Arial" w:cs="Arial"/>
      <w:sz w:val="20"/>
      <w:szCs w:val="20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229" w:right="3230"/>
      <w:jc w:val="both"/>
    </w:pPr>
    <w:rPr>
      <w:rFonts w:ascii="Arial" w:hAnsi="Arial" w:eastAsia="Arial" w:cs="Arial"/>
      <w:sz w:val="18"/>
      <w:szCs w:val="18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24" w:right="38" w:hanging="272"/>
      <w:jc w:val="both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6" w:line="223" w:lineRule="exact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2018-08-15T08:35:00Z</dcterms:created>
  <dc:creator>twilliam</dc:creator>
  <cp:keywords>cod vials lr mr hr, chemetrics, water test kits, water testing, colorimetric water analysis</cp:keywords>
  <cp:lastModifiedBy>Careful</cp:lastModifiedBy>
  <dcterms:modified xsi:type="dcterms:W3CDTF">2020-09-04T02:53:01Z</dcterms:modified>
  <dc:subject>cod vials lr mr hr</dc:subject>
  <dc:title>cod vials lr mr hr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2018-08-15T00:00:00Z</vt:filetime>
  </property>
  <property fmtid="{D5CDD505-2E9C-101B-9397-08002B2CF9AE}" pid="5" name="KSOProductBuildVer">
    <vt:lpwstr>2052-11.1.0.9912</vt:lpwstr>
  </property>
</Properties>
</file>